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3C8D205B" w:rsidR="00992E96" w:rsidRPr="00BB212B" w:rsidRDefault="008F72ED" w:rsidP="00992E96">
      <w:pPr>
        <w:pStyle w:val="LGAItemNoHeading"/>
        <w:spacing w:before="240"/>
        <w:rPr>
          <w:rFonts w:ascii="Arial" w:hAnsi="Arial" w:cs="Arial"/>
          <w:sz w:val="28"/>
          <w:szCs w:val="28"/>
        </w:rPr>
      </w:pPr>
      <w:r>
        <w:rPr>
          <w:rFonts w:ascii="Arial" w:hAnsi="Arial" w:cs="Arial"/>
          <w:sz w:val="28"/>
          <w:szCs w:val="28"/>
        </w:rPr>
        <w:t xml:space="preserve">Impact of Brexit on regulatory services </w:t>
      </w:r>
      <w:r w:rsidR="009266F7">
        <w:rPr>
          <w:rFonts w:ascii="Arial" w:hAnsi="Arial" w:cs="Arial"/>
          <w:sz w:val="28"/>
          <w:szCs w:val="28"/>
        </w:rPr>
        <w:t>and community safety</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43231ACD"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9266F7">
        <w:rPr>
          <w:rFonts w:ascii="Arial" w:hAnsi="Arial" w:cs="Arial"/>
          <w:szCs w:val="22"/>
        </w:rPr>
        <w:t>information</w:t>
      </w:r>
      <w:r>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3C43F0AC" w:rsidR="00992E96" w:rsidRPr="008F72ED" w:rsidRDefault="008F72ED" w:rsidP="00992E96">
      <w:pPr>
        <w:pStyle w:val="MainText"/>
        <w:spacing w:line="240" w:lineRule="auto"/>
        <w:rPr>
          <w:rFonts w:ascii="Arial" w:hAnsi="Arial" w:cs="Arial"/>
          <w:szCs w:val="22"/>
        </w:rPr>
      </w:pPr>
      <w:r w:rsidRPr="008F72ED">
        <w:rPr>
          <w:rFonts w:ascii="Arial" w:hAnsi="Arial" w:cs="Arial"/>
          <w:szCs w:val="22"/>
        </w:rPr>
        <w:t>This note updates the Board</w:t>
      </w:r>
      <w:r>
        <w:rPr>
          <w:rFonts w:ascii="Arial" w:hAnsi="Arial" w:cs="Arial"/>
          <w:szCs w:val="22"/>
        </w:rPr>
        <w:t xml:space="preserve"> on </w:t>
      </w:r>
      <w:r w:rsidR="00B6581A">
        <w:rPr>
          <w:rFonts w:ascii="Arial" w:hAnsi="Arial" w:cs="Arial"/>
          <w:szCs w:val="22"/>
        </w:rPr>
        <w:t>our work to consider the implications of Brexit on council regulatory services</w:t>
      </w:r>
      <w:r w:rsidR="001B1BED">
        <w:rPr>
          <w:rFonts w:ascii="Arial" w:hAnsi="Arial" w:cs="Arial"/>
          <w:szCs w:val="22"/>
        </w:rPr>
        <w:t xml:space="preserve"> and community safety</w:t>
      </w:r>
      <w:r w:rsidR="00B6581A">
        <w:rPr>
          <w:rFonts w:ascii="Arial" w:hAnsi="Arial" w:cs="Arial"/>
          <w:szCs w:val="22"/>
        </w:rPr>
        <w:t>.</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8F72ED">
        <w:tc>
          <w:tcPr>
            <w:tcW w:w="9157" w:type="dxa"/>
          </w:tcPr>
          <w:p w14:paraId="3E83226F" w14:textId="77777777" w:rsidR="00992E96" w:rsidRPr="0021114E" w:rsidRDefault="00992E96" w:rsidP="008F72ED">
            <w:pPr>
              <w:pStyle w:val="MainText"/>
              <w:spacing w:line="240" w:lineRule="auto"/>
              <w:rPr>
                <w:rFonts w:ascii="Arial" w:hAnsi="Arial" w:cs="Arial"/>
                <w:b/>
                <w:szCs w:val="22"/>
              </w:rPr>
            </w:pPr>
          </w:p>
          <w:p w14:paraId="3E832270" w14:textId="61B61CD0" w:rsidR="00992E96" w:rsidRDefault="00992E96" w:rsidP="008F72ED">
            <w:pPr>
              <w:pStyle w:val="MainText"/>
              <w:spacing w:line="240" w:lineRule="auto"/>
              <w:rPr>
                <w:rFonts w:ascii="Arial" w:hAnsi="Arial" w:cs="Arial"/>
                <w:b/>
                <w:szCs w:val="22"/>
              </w:rPr>
            </w:pPr>
            <w:r w:rsidRPr="0021114E">
              <w:rPr>
                <w:rFonts w:ascii="Arial" w:hAnsi="Arial" w:cs="Arial"/>
                <w:b/>
                <w:szCs w:val="22"/>
              </w:rPr>
              <w:t>Recommendation</w:t>
            </w:r>
            <w:r w:rsidR="00AD138B">
              <w:rPr>
                <w:rFonts w:ascii="Arial" w:hAnsi="Arial" w:cs="Arial"/>
                <w:b/>
                <w:szCs w:val="22"/>
              </w:rPr>
              <w:t xml:space="preserve"> </w:t>
            </w:r>
          </w:p>
          <w:p w14:paraId="3E832271" w14:textId="77777777" w:rsidR="00992E96" w:rsidRPr="0021114E" w:rsidRDefault="00992E96" w:rsidP="008F72ED">
            <w:pPr>
              <w:pStyle w:val="MainText"/>
              <w:spacing w:line="240" w:lineRule="auto"/>
              <w:rPr>
                <w:rFonts w:ascii="Arial" w:hAnsi="Arial" w:cs="Arial"/>
                <w:szCs w:val="22"/>
              </w:rPr>
            </w:pPr>
          </w:p>
          <w:p w14:paraId="3E832272" w14:textId="71749066" w:rsidR="00992E96" w:rsidRPr="00AD138B" w:rsidRDefault="00EA2B57" w:rsidP="008F72ED">
            <w:pPr>
              <w:pStyle w:val="MainText"/>
              <w:spacing w:line="240" w:lineRule="auto"/>
              <w:rPr>
                <w:rFonts w:ascii="Arial" w:hAnsi="Arial" w:cs="Arial"/>
                <w:szCs w:val="22"/>
              </w:rPr>
            </w:pPr>
            <w:r>
              <w:rPr>
                <w:rFonts w:ascii="Arial" w:hAnsi="Arial" w:cs="Arial"/>
                <w:szCs w:val="22"/>
              </w:rPr>
              <w:t xml:space="preserve">Members of the Safer and Stronger Communities </w:t>
            </w:r>
            <w:r w:rsidR="00AD138B" w:rsidRPr="00AD138B">
              <w:rPr>
                <w:rFonts w:ascii="Arial" w:hAnsi="Arial" w:cs="Arial"/>
                <w:szCs w:val="22"/>
              </w:rPr>
              <w:t xml:space="preserve">Board are asked </w:t>
            </w:r>
            <w:r w:rsidR="009266F7">
              <w:rPr>
                <w:rFonts w:ascii="Arial" w:hAnsi="Arial" w:cs="Arial"/>
                <w:szCs w:val="22"/>
              </w:rPr>
              <w:t>to note the findings of the recent report from Cornwall and planned future activity on this issue.</w:t>
            </w:r>
          </w:p>
          <w:p w14:paraId="3E832273" w14:textId="77777777" w:rsidR="00992E96" w:rsidRPr="0021114E" w:rsidRDefault="00992E96" w:rsidP="008F72ED">
            <w:pPr>
              <w:pStyle w:val="MainText"/>
              <w:spacing w:line="240" w:lineRule="auto"/>
              <w:rPr>
                <w:rFonts w:ascii="Arial" w:hAnsi="Arial" w:cs="Arial"/>
                <w:szCs w:val="22"/>
              </w:rPr>
            </w:pPr>
          </w:p>
          <w:p w14:paraId="3E832274" w14:textId="18D9EECF" w:rsidR="00992E96" w:rsidRPr="0021114E" w:rsidRDefault="00992E96" w:rsidP="008F72ED">
            <w:pPr>
              <w:pStyle w:val="MainText"/>
              <w:spacing w:line="240" w:lineRule="auto"/>
              <w:rPr>
                <w:rFonts w:ascii="Arial" w:hAnsi="Arial" w:cs="Arial"/>
                <w:b/>
                <w:szCs w:val="22"/>
              </w:rPr>
            </w:pPr>
            <w:r w:rsidRPr="0021114E">
              <w:rPr>
                <w:rFonts w:ascii="Arial" w:hAnsi="Arial" w:cs="Arial"/>
                <w:b/>
                <w:szCs w:val="22"/>
              </w:rPr>
              <w:t>Action</w:t>
            </w:r>
            <w:r w:rsidR="00AD138B">
              <w:rPr>
                <w:rFonts w:ascii="Arial" w:hAnsi="Arial" w:cs="Arial"/>
                <w:b/>
                <w:szCs w:val="22"/>
              </w:rPr>
              <w:t xml:space="preserve"> </w:t>
            </w:r>
          </w:p>
          <w:p w14:paraId="3E832275" w14:textId="77777777" w:rsidR="00992E96" w:rsidRPr="0021114E" w:rsidRDefault="00992E96" w:rsidP="008F72ED">
            <w:pPr>
              <w:pStyle w:val="MainText"/>
              <w:spacing w:line="240" w:lineRule="auto"/>
              <w:rPr>
                <w:rFonts w:ascii="Arial" w:hAnsi="Arial" w:cs="Arial"/>
                <w:b/>
                <w:szCs w:val="22"/>
              </w:rPr>
            </w:pPr>
          </w:p>
          <w:p w14:paraId="3E832276" w14:textId="074C0C0A" w:rsidR="00992E96" w:rsidRPr="00AD138B" w:rsidRDefault="00AD138B" w:rsidP="008F72ED">
            <w:pPr>
              <w:pStyle w:val="MainText"/>
              <w:spacing w:line="240" w:lineRule="auto"/>
              <w:rPr>
                <w:rFonts w:ascii="Arial" w:hAnsi="Arial" w:cs="Arial"/>
                <w:szCs w:val="22"/>
              </w:rPr>
            </w:pPr>
            <w:r w:rsidRPr="00AD138B">
              <w:rPr>
                <w:rFonts w:ascii="Arial" w:hAnsi="Arial" w:cs="Arial"/>
                <w:szCs w:val="22"/>
              </w:rPr>
              <w:t>Officers to take forward as directed.</w:t>
            </w:r>
          </w:p>
          <w:p w14:paraId="3E832277" w14:textId="77777777" w:rsidR="00992E96" w:rsidRPr="0021114E" w:rsidRDefault="00992E96" w:rsidP="008F72ED">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8F72ED">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1C8E2EC6" w:rsidR="00992E96" w:rsidRPr="00B27F61" w:rsidRDefault="00B6581A" w:rsidP="008F72ED">
            <w:pPr>
              <w:pStyle w:val="MainText"/>
              <w:spacing w:before="120" w:line="240" w:lineRule="auto"/>
              <w:rPr>
                <w:rFonts w:ascii="Arial" w:hAnsi="Arial" w:cs="Arial"/>
                <w:sz w:val="22"/>
                <w:szCs w:val="22"/>
              </w:rPr>
            </w:pPr>
            <w:r>
              <w:rPr>
                <w:rFonts w:ascii="Arial" w:hAnsi="Arial" w:cs="Arial"/>
                <w:sz w:val="22"/>
                <w:szCs w:val="22"/>
              </w:rPr>
              <w:t>Ellie Greenwood</w:t>
            </w:r>
          </w:p>
        </w:tc>
      </w:tr>
      <w:tr w:rsidR="00992E96" w:rsidRPr="00B27F61" w14:paraId="3E832280" w14:textId="77777777" w:rsidTr="00992E96">
        <w:tc>
          <w:tcPr>
            <w:tcW w:w="2774" w:type="dxa"/>
          </w:tcPr>
          <w:p w14:paraId="3E83227E" w14:textId="77777777" w:rsidR="00992E96" w:rsidRPr="00B27F61" w:rsidRDefault="00992E96" w:rsidP="008F72ED">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0B646122" w:rsidR="00992E96" w:rsidRPr="00B27F61" w:rsidRDefault="00B6581A" w:rsidP="008F72ED">
            <w:pPr>
              <w:pStyle w:val="MainText"/>
              <w:spacing w:before="120" w:line="240" w:lineRule="auto"/>
              <w:rPr>
                <w:rFonts w:ascii="Arial" w:hAnsi="Arial" w:cs="Arial"/>
                <w:sz w:val="22"/>
                <w:szCs w:val="22"/>
              </w:rPr>
            </w:pPr>
            <w:r>
              <w:rPr>
                <w:rFonts w:ascii="Arial" w:hAnsi="Arial" w:cs="Arial"/>
                <w:sz w:val="22"/>
                <w:szCs w:val="22"/>
              </w:rPr>
              <w:t>Senior Adviser (Regulation and Community Safety)</w:t>
            </w:r>
          </w:p>
        </w:tc>
      </w:tr>
      <w:tr w:rsidR="00992E96" w:rsidRPr="00B27F61" w14:paraId="3E832283" w14:textId="77777777" w:rsidTr="00992E96">
        <w:tc>
          <w:tcPr>
            <w:tcW w:w="2774" w:type="dxa"/>
          </w:tcPr>
          <w:p w14:paraId="3E832281" w14:textId="77777777" w:rsidR="00992E96" w:rsidRPr="00B27F61" w:rsidRDefault="00992E96" w:rsidP="008F72ED">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1A1297C2" w:rsidR="00992E96" w:rsidRPr="00B27F61" w:rsidRDefault="00B6581A" w:rsidP="008F72ED">
            <w:pPr>
              <w:pStyle w:val="MainText"/>
              <w:spacing w:before="120" w:line="240" w:lineRule="auto"/>
              <w:rPr>
                <w:rFonts w:ascii="Arial" w:hAnsi="Arial" w:cs="Arial"/>
                <w:sz w:val="22"/>
                <w:szCs w:val="22"/>
              </w:rPr>
            </w:pPr>
            <w:r>
              <w:rPr>
                <w:rFonts w:ascii="Arial" w:hAnsi="Arial" w:cs="Arial"/>
                <w:sz w:val="22"/>
                <w:szCs w:val="22"/>
              </w:rPr>
              <w:t>07795 413660</w:t>
            </w:r>
          </w:p>
        </w:tc>
      </w:tr>
      <w:tr w:rsidR="00992E96" w:rsidRPr="00B27F61" w14:paraId="3E832286" w14:textId="77777777" w:rsidTr="00992E96">
        <w:trPr>
          <w:trHeight w:val="507"/>
        </w:trPr>
        <w:tc>
          <w:tcPr>
            <w:tcW w:w="2774" w:type="dxa"/>
          </w:tcPr>
          <w:p w14:paraId="3E832284" w14:textId="77777777" w:rsidR="00992E96" w:rsidRPr="00B27F61" w:rsidRDefault="00992E96" w:rsidP="008F72ED">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3D1D84DD" w:rsidR="00992E96" w:rsidRPr="00EA2B57" w:rsidRDefault="00B0405C" w:rsidP="008F72ED">
            <w:pPr>
              <w:pStyle w:val="MainText"/>
              <w:spacing w:before="120" w:line="240" w:lineRule="auto"/>
              <w:rPr>
                <w:rFonts w:ascii="Arial" w:hAnsi="Arial" w:cs="Arial"/>
                <w:sz w:val="22"/>
                <w:szCs w:val="22"/>
              </w:rPr>
            </w:pPr>
            <w:hyperlink r:id="rId11" w:history="1">
              <w:r w:rsidR="00EA2B57" w:rsidRPr="00EA2B57">
                <w:rPr>
                  <w:rStyle w:val="Hyperlink"/>
                  <w:rFonts w:ascii="Arial" w:hAnsi="Arial" w:cs="Arial"/>
                  <w:sz w:val="22"/>
                  <w:szCs w:val="22"/>
                </w:rPr>
                <w:t>Ellie.greenwood@local.gov.uk</w:t>
              </w:r>
            </w:hyperlink>
            <w:r w:rsidR="00EA2B57" w:rsidRPr="00EA2B57">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8F72ED">
          <w:headerReference w:type="default" r:id="rId12"/>
          <w:footerReference w:type="default" r:id="rId13"/>
          <w:headerReference w:type="first" r:id="rId14"/>
          <w:pgSz w:w="11907" w:h="16840" w:code="9"/>
          <w:pgMar w:top="1418" w:right="1418" w:bottom="851" w:left="1418" w:header="1134" w:footer="567" w:gutter="0"/>
          <w:cols w:space="720"/>
        </w:sectPr>
      </w:pPr>
    </w:p>
    <w:p w14:paraId="12C5D98D" w14:textId="02DF0612" w:rsidR="00B6581A" w:rsidRPr="00BB212B" w:rsidRDefault="00B6581A" w:rsidP="00B6581A">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 xml:space="preserve">Impact of Brexit on regulatory </w:t>
      </w:r>
      <w:r w:rsidR="009266F7">
        <w:rPr>
          <w:rFonts w:ascii="Arial" w:hAnsi="Arial" w:cs="Arial"/>
          <w:sz w:val="28"/>
          <w:szCs w:val="28"/>
        </w:rPr>
        <w:t>services and safer communities</w:t>
      </w: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96" w14:textId="4D70C11E" w:rsidR="00992E96" w:rsidRDefault="009266F7" w:rsidP="009266F7">
      <w:pPr>
        <w:pStyle w:val="MainText"/>
        <w:numPr>
          <w:ilvl w:val="0"/>
          <w:numId w:val="1"/>
        </w:numPr>
        <w:spacing w:line="240" w:lineRule="auto"/>
        <w:rPr>
          <w:rFonts w:ascii="Arial" w:hAnsi="Arial" w:cs="Arial"/>
          <w:szCs w:val="22"/>
        </w:rPr>
      </w:pPr>
      <w:r>
        <w:rPr>
          <w:rFonts w:ascii="Arial" w:hAnsi="Arial" w:cs="Arial"/>
          <w:szCs w:val="22"/>
        </w:rPr>
        <w:t>T</w:t>
      </w:r>
      <w:r w:rsidR="00B6581A" w:rsidRPr="009266F7">
        <w:rPr>
          <w:rFonts w:ascii="Arial" w:hAnsi="Arial" w:cs="Arial"/>
          <w:szCs w:val="22"/>
        </w:rPr>
        <w:t xml:space="preserve">he LGA Leadership Board has identified managing the impact of Brexit on local government as a </w:t>
      </w:r>
      <w:r w:rsidR="00FA475C" w:rsidRPr="009266F7">
        <w:rPr>
          <w:rFonts w:ascii="Arial" w:hAnsi="Arial" w:cs="Arial"/>
          <w:szCs w:val="22"/>
        </w:rPr>
        <w:t xml:space="preserve">key </w:t>
      </w:r>
      <w:r w:rsidR="00B6581A" w:rsidRPr="009266F7">
        <w:rPr>
          <w:rFonts w:ascii="Arial" w:hAnsi="Arial" w:cs="Arial"/>
          <w:szCs w:val="22"/>
        </w:rPr>
        <w:t>corporate priority</w:t>
      </w:r>
      <w:r w:rsidRPr="009266F7">
        <w:rPr>
          <w:rFonts w:ascii="Arial" w:hAnsi="Arial" w:cs="Arial"/>
          <w:szCs w:val="22"/>
        </w:rPr>
        <w:t>. Of particular relevance to the Safer and Stronger Communities Board is the need to develop a new legal base for local government; councils’ consumer protection and wider regulatory work relating to safer communities</w:t>
      </w:r>
      <w:r>
        <w:rPr>
          <w:rStyle w:val="FootnoteReference"/>
          <w:rFonts w:ascii="Arial" w:hAnsi="Arial" w:cs="Arial"/>
          <w:szCs w:val="22"/>
        </w:rPr>
        <w:footnoteReference w:id="1"/>
      </w:r>
      <w:r w:rsidRPr="009266F7">
        <w:rPr>
          <w:rFonts w:ascii="Arial" w:hAnsi="Arial" w:cs="Arial"/>
          <w:szCs w:val="22"/>
        </w:rPr>
        <w:t xml:space="preserve"> is one of ten areas </w:t>
      </w:r>
      <w:r w:rsidR="00630474">
        <w:rPr>
          <w:rFonts w:ascii="Arial" w:hAnsi="Arial" w:cs="Arial"/>
          <w:szCs w:val="22"/>
        </w:rPr>
        <w:t>the</w:t>
      </w:r>
      <w:r w:rsidRPr="009266F7">
        <w:rPr>
          <w:rFonts w:ascii="Arial" w:hAnsi="Arial" w:cs="Arial"/>
          <w:szCs w:val="22"/>
        </w:rPr>
        <w:t xml:space="preserve"> LGA</w:t>
      </w:r>
      <w:r>
        <w:rPr>
          <w:rFonts w:ascii="Arial" w:hAnsi="Arial" w:cs="Arial"/>
          <w:szCs w:val="22"/>
        </w:rPr>
        <w:t xml:space="preserve"> </w:t>
      </w:r>
      <w:r w:rsidR="00326607" w:rsidRPr="009266F7">
        <w:rPr>
          <w:rFonts w:ascii="Arial" w:hAnsi="Arial" w:cs="Arial"/>
          <w:szCs w:val="22"/>
        </w:rPr>
        <w:t xml:space="preserve">policy directorate has been asked to </w:t>
      </w:r>
      <w:r w:rsidR="00630474">
        <w:rPr>
          <w:rFonts w:ascii="Arial" w:hAnsi="Arial" w:cs="Arial"/>
          <w:szCs w:val="22"/>
        </w:rPr>
        <w:t xml:space="preserve">look at </w:t>
      </w:r>
      <w:r>
        <w:rPr>
          <w:rFonts w:ascii="Arial" w:hAnsi="Arial" w:cs="Arial"/>
          <w:szCs w:val="22"/>
        </w:rPr>
        <w:t>given that it is</w:t>
      </w:r>
      <w:r w:rsidR="00326607" w:rsidRPr="009266F7">
        <w:rPr>
          <w:rFonts w:ascii="Arial" w:hAnsi="Arial" w:cs="Arial"/>
          <w:szCs w:val="22"/>
        </w:rPr>
        <w:t xml:space="preserve"> heavily shaped by EU law.</w:t>
      </w:r>
      <w:r w:rsidR="00326607">
        <w:rPr>
          <w:rStyle w:val="FootnoteReference"/>
          <w:rFonts w:ascii="Arial" w:hAnsi="Arial" w:cs="Arial"/>
          <w:szCs w:val="22"/>
        </w:rPr>
        <w:footnoteReference w:id="2"/>
      </w:r>
      <w:r w:rsidR="00326607" w:rsidRPr="009266F7">
        <w:rPr>
          <w:rFonts w:ascii="Arial" w:hAnsi="Arial" w:cs="Arial"/>
          <w:szCs w:val="22"/>
        </w:rPr>
        <w:t xml:space="preserve"> </w:t>
      </w:r>
    </w:p>
    <w:p w14:paraId="7CB8C894" w14:textId="77777777" w:rsidR="009266F7" w:rsidRDefault="009266F7" w:rsidP="009266F7">
      <w:pPr>
        <w:pStyle w:val="MainText"/>
        <w:spacing w:line="240" w:lineRule="auto"/>
        <w:ind w:left="360"/>
        <w:rPr>
          <w:rFonts w:ascii="Arial" w:hAnsi="Arial" w:cs="Arial"/>
          <w:szCs w:val="22"/>
        </w:rPr>
      </w:pPr>
    </w:p>
    <w:p w14:paraId="63AD3484" w14:textId="29A30799" w:rsidR="000D3672" w:rsidRPr="000D3672" w:rsidRDefault="009266F7" w:rsidP="000D3672">
      <w:pPr>
        <w:pStyle w:val="ListParagraph"/>
        <w:numPr>
          <w:ilvl w:val="0"/>
          <w:numId w:val="1"/>
        </w:numPr>
        <w:rPr>
          <w:rFonts w:ascii="Arial" w:hAnsi="Arial" w:cs="Arial"/>
          <w:szCs w:val="22"/>
        </w:rPr>
      </w:pPr>
      <w:r w:rsidRPr="000D3672">
        <w:rPr>
          <w:rFonts w:ascii="Arial" w:hAnsi="Arial" w:cs="Arial"/>
          <w:szCs w:val="22"/>
        </w:rPr>
        <w:t xml:space="preserve">As members will recall, </w:t>
      </w:r>
      <w:r w:rsidR="000D3672" w:rsidRPr="000D3672">
        <w:rPr>
          <w:rFonts w:ascii="Arial" w:hAnsi="Arial" w:cs="Arial"/>
          <w:szCs w:val="22"/>
        </w:rPr>
        <w:t>given</w:t>
      </w:r>
      <w:r w:rsidRPr="000D3672">
        <w:rPr>
          <w:rFonts w:ascii="Arial" w:hAnsi="Arial" w:cs="Arial"/>
          <w:szCs w:val="22"/>
        </w:rPr>
        <w:t xml:space="preserve"> the </w:t>
      </w:r>
      <w:r w:rsidR="000D3672" w:rsidRPr="000D3672">
        <w:rPr>
          <w:rFonts w:ascii="Arial" w:hAnsi="Arial" w:cs="Arial"/>
          <w:szCs w:val="22"/>
        </w:rPr>
        <w:t xml:space="preserve">very </w:t>
      </w:r>
      <w:r w:rsidRPr="000D3672">
        <w:rPr>
          <w:rFonts w:ascii="Arial" w:hAnsi="Arial" w:cs="Arial"/>
          <w:szCs w:val="22"/>
        </w:rPr>
        <w:t xml:space="preserve">technical nature of many of the regulations, officers commissioned Cornwall </w:t>
      </w:r>
      <w:r w:rsidR="00EA2B57">
        <w:rPr>
          <w:rFonts w:ascii="Arial" w:hAnsi="Arial" w:cs="Arial"/>
          <w:szCs w:val="22"/>
        </w:rPr>
        <w:t>C</w:t>
      </w:r>
      <w:r w:rsidRPr="000D3672">
        <w:rPr>
          <w:rFonts w:ascii="Arial" w:hAnsi="Arial" w:cs="Arial"/>
          <w:szCs w:val="22"/>
        </w:rPr>
        <w:t xml:space="preserve">ouncil to provide a high level </w:t>
      </w:r>
      <w:r w:rsidR="000D3672" w:rsidRPr="000D3672">
        <w:rPr>
          <w:rFonts w:ascii="Arial" w:hAnsi="Arial" w:cs="Arial"/>
          <w:szCs w:val="22"/>
        </w:rPr>
        <w:t>narrative</w:t>
      </w:r>
      <w:r w:rsidRPr="000D3672">
        <w:rPr>
          <w:rFonts w:ascii="Arial" w:hAnsi="Arial" w:cs="Arial"/>
          <w:szCs w:val="22"/>
        </w:rPr>
        <w:t xml:space="preserve"> of the list of directives, rules and decisions identified by the LGA’s Brussels office as being within the remit of this Board. </w:t>
      </w:r>
      <w:r w:rsidR="000D3672" w:rsidRPr="000D3672">
        <w:rPr>
          <w:rFonts w:ascii="Arial" w:hAnsi="Arial" w:cs="Arial"/>
          <w:szCs w:val="22"/>
        </w:rPr>
        <w:t>In particular, Cornwall were asked to provide an insight into the scope for simplifying the regulations to reduce burdens on businesses or councils and</w:t>
      </w:r>
      <w:r w:rsidR="000D3672">
        <w:rPr>
          <w:rFonts w:ascii="Arial" w:hAnsi="Arial" w:cs="Arial"/>
          <w:szCs w:val="22"/>
        </w:rPr>
        <w:t xml:space="preserve"> t</w:t>
      </w:r>
      <w:r w:rsidR="000D3672" w:rsidRPr="000D3672">
        <w:rPr>
          <w:rFonts w:ascii="Arial" w:hAnsi="Arial" w:cs="Arial"/>
          <w:szCs w:val="22"/>
        </w:rPr>
        <w:t xml:space="preserve">he potential for any greater local control, discretion or devolution in how the regulation is carried out. </w:t>
      </w:r>
    </w:p>
    <w:p w14:paraId="62D3249C" w14:textId="72D74754" w:rsidR="005C74AC" w:rsidRPr="00D537AC" w:rsidRDefault="005C74AC" w:rsidP="00D537AC">
      <w:pPr>
        <w:pStyle w:val="MainText"/>
        <w:spacing w:line="240" w:lineRule="auto"/>
        <w:ind w:left="360"/>
        <w:rPr>
          <w:rFonts w:ascii="Arial" w:hAnsi="Arial" w:cs="Arial"/>
          <w:szCs w:val="22"/>
        </w:rPr>
      </w:pPr>
    </w:p>
    <w:p w14:paraId="4B601786" w14:textId="3E4FB323" w:rsidR="00D537AC" w:rsidRPr="00D537AC" w:rsidRDefault="00D537AC" w:rsidP="00D537AC">
      <w:pPr>
        <w:pStyle w:val="ListParagraph"/>
        <w:numPr>
          <w:ilvl w:val="0"/>
          <w:numId w:val="1"/>
        </w:numPr>
        <w:rPr>
          <w:rFonts w:ascii="Arial" w:hAnsi="Arial" w:cs="Arial"/>
          <w:szCs w:val="22"/>
        </w:rPr>
      </w:pPr>
      <w:r w:rsidRPr="00D537AC">
        <w:rPr>
          <w:rFonts w:ascii="Arial" w:hAnsi="Arial" w:cs="Arial"/>
          <w:szCs w:val="22"/>
        </w:rPr>
        <w:t xml:space="preserve">Officers from </w:t>
      </w:r>
      <w:r w:rsidR="00EA2B57">
        <w:rPr>
          <w:rFonts w:ascii="Arial" w:hAnsi="Arial" w:cs="Arial"/>
          <w:szCs w:val="22"/>
        </w:rPr>
        <w:t>Cornwall C</w:t>
      </w:r>
      <w:r w:rsidR="009266F7" w:rsidRPr="00D537AC">
        <w:rPr>
          <w:rFonts w:ascii="Arial" w:hAnsi="Arial" w:cs="Arial"/>
          <w:szCs w:val="22"/>
        </w:rPr>
        <w:t xml:space="preserve">ouncil have now provided a short report to the </w:t>
      </w:r>
      <w:r w:rsidRPr="00D537AC">
        <w:rPr>
          <w:rFonts w:ascii="Arial" w:hAnsi="Arial" w:cs="Arial"/>
          <w:szCs w:val="22"/>
        </w:rPr>
        <w:t xml:space="preserve">LGA providing a high level view of the opportunities and risks provided by Brexit. This is attached as an annex to this report. Additionally, the council has provided a comprehensive analysis of the individual regulations themselves, by rating </w:t>
      </w:r>
      <w:r>
        <w:rPr>
          <w:rFonts w:ascii="Arial" w:hAnsi="Arial" w:cs="Arial"/>
          <w:szCs w:val="22"/>
        </w:rPr>
        <w:t>t</w:t>
      </w:r>
      <w:r w:rsidRPr="00D537AC">
        <w:rPr>
          <w:rFonts w:ascii="Arial" w:hAnsi="Arial" w:cs="Arial"/>
          <w:szCs w:val="22"/>
        </w:rPr>
        <w:t>he extent of routine and reactive enforcement of individual regulations and associated council resource requirement and level and nature of risk associated with removing the regulations.</w:t>
      </w:r>
    </w:p>
    <w:p w14:paraId="69EFEE16" w14:textId="77777777" w:rsidR="005C74AC" w:rsidRPr="005C74AC" w:rsidRDefault="005C74AC" w:rsidP="005C74AC">
      <w:pPr>
        <w:rPr>
          <w:rFonts w:ascii="Arial" w:hAnsi="Arial" w:cs="Arial"/>
          <w:szCs w:val="22"/>
        </w:rPr>
      </w:pPr>
    </w:p>
    <w:p w14:paraId="15AE09C1" w14:textId="77777777" w:rsidR="00326607" w:rsidRPr="0021114E" w:rsidRDefault="00326607" w:rsidP="00326607">
      <w:pPr>
        <w:pStyle w:val="MainText"/>
        <w:spacing w:line="240" w:lineRule="auto"/>
        <w:rPr>
          <w:rFonts w:ascii="Arial" w:hAnsi="Arial" w:cs="Arial"/>
          <w:b/>
          <w:szCs w:val="22"/>
        </w:rPr>
      </w:pPr>
      <w:r>
        <w:rPr>
          <w:rFonts w:ascii="Arial" w:hAnsi="Arial" w:cs="Arial"/>
          <w:b/>
          <w:szCs w:val="22"/>
        </w:rPr>
        <w:t>Issues</w:t>
      </w:r>
    </w:p>
    <w:p w14:paraId="3E83229A" w14:textId="77777777" w:rsidR="00992E96" w:rsidRPr="0021114E" w:rsidRDefault="00992E96" w:rsidP="00841D53">
      <w:pPr>
        <w:rPr>
          <w:rFonts w:ascii="Arial" w:hAnsi="Arial" w:cs="Arial"/>
          <w:szCs w:val="22"/>
        </w:rPr>
      </w:pPr>
    </w:p>
    <w:p w14:paraId="4A4C31B7" w14:textId="79AD7A4E" w:rsidR="004A6607" w:rsidRPr="00E378A8" w:rsidRDefault="00E378A8" w:rsidP="00E378A8">
      <w:pPr>
        <w:pStyle w:val="ListParagraph"/>
        <w:numPr>
          <w:ilvl w:val="0"/>
          <w:numId w:val="1"/>
        </w:numPr>
        <w:rPr>
          <w:rFonts w:ascii="Arial" w:hAnsi="Arial" w:cs="Arial"/>
          <w:szCs w:val="22"/>
        </w:rPr>
      </w:pPr>
      <w:r w:rsidRPr="00E378A8">
        <w:rPr>
          <w:rFonts w:ascii="Arial" w:hAnsi="Arial" w:cs="Arial"/>
          <w:szCs w:val="22"/>
        </w:rPr>
        <w:t>The</w:t>
      </w:r>
      <w:r w:rsidR="00D537AC" w:rsidRPr="00E378A8">
        <w:rPr>
          <w:rFonts w:ascii="Arial" w:hAnsi="Arial" w:cs="Arial"/>
          <w:szCs w:val="22"/>
        </w:rPr>
        <w:t xml:space="preserve"> report from Cornwall </w:t>
      </w:r>
      <w:r w:rsidRPr="00E378A8">
        <w:rPr>
          <w:rFonts w:ascii="Arial" w:hAnsi="Arial" w:cs="Arial"/>
          <w:szCs w:val="22"/>
        </w:rPr>
        <w:t>officers concludes</w:t>
      </w:r>
      <w:r w:rsidR="004A6607" w:rsidRPr="00E378A8">
        <w:rPr>
          <w:rFonts w:ascii="Arial" w:hAnsi="Arial" w:cs="Arial"/>
          <w:szCs w:val="22"/>
        </w:rPr>
        <w:t xml:space="preserve"> that, in broad terms, the regulations provide important protection, and there is no obvious case for wholesale repeal of them. </w:t>
      </w:r>
      <w:r w:rsidRPr="00E378A8">
        <w:rPr>
          <w:rFonts w:ascii="Arial" w:hAnsi="Arial" w:cs="Arial"/>
          <w:szCs w:val="22"/>
        </w:rPr>
        <w:t xml:space="preserve">It appears that the </w:t>
      </w:r>
      <w:r w:rsidR="004A6607" w:rsidRPr="00E378A8">
        <w:rPr>
          <w:rFonts w:ascii="Arial" w:hAnsi="Arial" w:cs="Arial"/>
          <w:szCs w:val="22"/>
        </w:rPr>
        <w:t>opportunities for improving the regulatory landscape are predominantly associated with the way in which regulations are carried out, rather than in the detail of the regulations themselves.</w:t>
      </w:r>
    </w:p>
    <w:p w14:paraId="3D2EE3CA" w14:textId="77777777" w:rsidR="004A6607" w:rsidRPr="004A6607" w:rsidRDefault="004A6607" w:rsidP="004A6607">
      <w:pPr>
        <w:pStyle w:val="ListParagraph"/>
        <w:rPr>
          <w:rFonts w:ascii="Arial" w:hAnsi="Arial" w:cs="Arial"/>
          <w:szCs w:val="22"/>
        </w:rPr>
      </w:pPr>
    </w:p>
    <w:p w14:paraId="5C70B264" w14:textId="77777777" w:rsidR="00E378A8" w:rsidRDefault="004A6607" w:rsidP="004A6607">
      <w:pPr>
        <w:pStyle w:val="ListParagraph"/>
        <w:numPr>
          <w:ilvl w:val="0"/>
          <w:numId w:val="1"/>
        </w:numPr>
        <w:rPr>
          <w:rFonts w:ascii="Arial" w:hAnsi="Arial" w:cs="Arial"/>
          <w:szCs w:val="22"/>
        </w:rPr>
      </w:pPr>
      <w:r>
        <w:rPr>
          <w:rFonts w:ascii="Arial" w:hAnsi="Arial" w:cs="Arial"/>
          <w:szCs w:val="22"/>
        </w:rPr>
        <w:t>Particular opportunities hi</w:t>
      </w:r>
      <w:r w:rsidR="00E378A8">
        <w:rPr>
          <w:rFonts w:ascii="Arial" w:hAnsi="Arial" w:cs="Arial"/>
          <w:szCs w:val="22"/>
        </w:rPr>
        <w:t>ghlighted in the report include:</w:t>
      </w:r>
    </w:p>
    <w:p w14:paraId="2F1B5DCA" w14:textId="77777777" w:rsidR="00E378A8" w:rsidRPr="00E378A8" w:rsidRDefault="00E378A8" w:rsidP="00E378A8">
      <w:pPr>
        <w:pStyle w:val="ListParagraph"/>
        <w:rPr>
          <w:rFonts w:ascii="Arial" w:hAnsi="Arial" w:cs="Arial"/>
          <w:szCs w:val="22"/>
        </w:rPr>
      </w:pPr>
    </w:p>
    <w:p w14:paraId="16E787E3" w14:textId="2ED54A51" w:rsidR="00EA2B57" w:rsidRDefault="00EA2B57" w:rsidP="00E378A8">
      <w:pPr>
        <w:pStyle w:val="ListParagraph"/>
        <w:numPr>
          <w:ilvl w:val="1"/>
          <w:numId w:val="1"/>
        </w:numPr>
        <w:rPr>
          <w:rFonts w:ascii="Arial" w:hAnsi="Arial" w:cs="Arial"/>
          <w:szCs w:val="22"/>
        </w:rPr>
      </w:pPr>
      <w:r>
        <w:rPr>
          <w:rFonts w:ascii="Arial" w:hAnsi="Arial" w:cs="Arial"/>
          <w:szCs w:val="22"/>
        </w:rPr>
        <w:t>T</w:t>
      </w:r>
      <w:r w:rsidR="004A6607">
        <w:rPr>
          <w:rFonts w:ascii="Arial" w:hAnsi="Arial" w:cs="Arial"/>
          <w:szCs w:val="22"/>
        </w:rPr>
        <w:t>he scope for consolidating regulatory responsibilities around farms (an issue the Government has been looking into already, with a commitment to significantly reduce the number of farm inspections taking place)</w:t>
      </w:r>
      <w:r w:rsidR="00743B93">
        <w:rPr>
          <w:rFonts w:ascii="Arial" w:hAnsi="Arial" w:cs="Arial"/>
          <w:szCs w:val="22"/>
        </w:rPr>
        <w:t xml:space="preserve"> and food safety</w:t>
      </w:r>
      <w:r>
        <w:rPr>
          <w:rFonts w:ascii="Arial" w:hAnsi="Arial" w:cs="Arial"/>
          <w:szCs w:val="22"/>
        </w:rPr>
        <w:t>.</w:t>
      </w:r>
    </w:p>
    <w:p w14:paraId="11C5EAEA" w14:textId="4B54C244" w:rsidR="00E378A8" w:rsidRDefault="00E378A8" w:rsidP="00EA2B57">
      <w:pPr>
        <w:pStyle w:val="ListParagraph"/>
        <w:ind w:left="792"/>
        <w:rPr>
          <w:rFonts w:ascii="Arial" w:hAnsi="Arial" w:cs="Arial"/>
          <w:szCs w:val="22"/>
        </w:rPr>
      </w:pPr>
      <w:r>
        <w:rPr>
          <w:rFonts w:ascii="Arial" w:hAnsi="Arial" w:cs="Arial"/>
          <w:szCs w:val="22"/>
        </w:rPr>
        <w:t xml:space="preserve"> </w:t>
      </w:r>
    </w:p>
    <w:p w14:paraId="17E7596B" w14:textId="1A0EB9AF" w:rsidR="004A6607" w:rsidRDefault="00EA2B57" w:rsidP="00E378A8">
      <w:pPr>
        <w:pStyle w:val="ListParagraph"/>
        <w:numPr>
          <w:ilvl w:val="1"/>
          <w:numId w:val="1"/>
        </w:numPr>
        <w:rPr>
          <w:rFonts w:ascii="Arial" w:hAnsi="Arial" w:cs="Arial"/>
          <w:szCs w:val="22"/>
        </w:rPr>
      </w:pPr>
      <w:r>
        <w:rPr>
          <w:rFonts w:ascii="Arial" w:hAnsi="Arial" w:cs="Arial"/>
          <w:szCs w:val="22"/>
        </w:rPr>
        <w:t>G</w:t>
      </w:r>
      <w:r w:rsidR="00E378A8">
        <w:rPr>
          <w:rFonts w:ascii="Arial" w:hAnsi="Arial" w:cs="Arial"/>
          <w:szCs w:val="22"/>
        </w:rPr>
        <w:t>reater use of risk based and accreditation schemes</w:t>
      </w:r>
      <w:r>
        <w:rPr>
          <w:rFonts w:ascii="Arial" w:hAnsi="Arial" w:cs="Arial"/>
          <w:szCs w:val="22"/>
        </w:rPr>
        <w:t>.</w:t>
      </w:r>
    </w:p>
    <w:p w14:paraId="6DEEDA21" w14:textId="77777777" w:rsidR="00EA2B57" w:rsidRPr="00EA2B57" w:rsidRDefault="00EA2B57" w:rsidP="00EA2B57">
      <w:pPr>
        <w:rPr>
          <w:rFonts w:ascii="Arial" w:hAnsi="Arial" w:cs="Arial"/>
          <w:szCs w:val="22"/>
        </w:rPr>
      </w:pPr>
    </w:p>
    <w:p w14:paraId="448FD5D2" w14:textId="6B1B6D0E" w:rsidR="00D11070" w:rsidRDefault="00EA2B57" w:rsidP="00E378A8">
      <w:pPr>
        <w:pStyle w:val="ListParagraph"/>
        <w:numPr>
          <w:ilvl w:val="1"/>
          <w:numId w:val="1"/>
        </w:numPr>
        <w:rPr>
          <w:rFonts w:ascii="Arial" w:hAnsi="Arial" w:cs="Arial"/>
          <w:szCs w:val="22"/>
        </w:rPr>
      </w:pPr>
      <w:r>
        <w:rPr>
          <w:rFonts w:ascii="Arial" w:hAnsi="Arial" w:cs="Arial"/>
          <w:szCs w:val="22"/>
        </w:rPr>
        <w:lastRenderedPageBreak/>
        <w:t>S</w:t>
      </w:r>
      <w:r w:rsidR="00E378A8">
        <w:rPr>
          <w:rFonts w:ascii="Arial" w:hAnsi="Arial" w:cs="Arial"/>
          <w:szCs w:val="22"/>
        </w:rPr>
        <w:t>implification of the food export process, with a greater role for local authorities</w:t>
      </w:r>
      <w:r>
        <w:rPr>
          <w:rFonts w:ascii="Arial" w:hAnsi="Arial" w:cs="Arial"/>
          <w:szCs w:val="22"/>
        </w:rPr>
        <w:t>.</w:t>
      </w:r>
    </w:p>
    <w:p w14:paraId="47FB9926" w14:textId="77777777" w:rsidR="00EA2B57" w:rsidRPr="00EA2B57" w:rsidRDefault="00EA2B57" w:rsidP="00EA2B57">
      <w:pPr>
        <w:pStyle w:val="ListParagraph"/>
        <w:rPr>
          <w:rFonts w:ascii="Arial" w:hAnsi="Arial" w:cs="Arial"/>
          <w:szCs w:val="22"/>
        </w:rPr>
      </w:pPr>
    </w:p>
    <w:p w14:paraId="10FA3DA4" w14:textId="77777777" w:rsidR="00EA2B57" w:rsidRDefault="00EA2B57" w:rsidP="00EA2B57">
      <w:pPr>
        <w:pStyle w:val="ListParagraph"/>
        <w:ind w:left="792"/>
        <w:rPr>
          <w:rFonts w:ascii="Arial" w:hAnsi="Arial" w:cs="Arial"/>
          <w:szCs w:val="22"/>
        </w:rPr>
      </w:pPr>
    </w:p>
    <w:p w14:paraId="3A621899" w14:textId="5F294F71" w:rsidR="00E378A8" w:rsidRDefault="00EA2B57" w:rsidP="00E378A8">
      <w:pPr>
        <w:pStyle w:val="ListParagraph"/>
        <w:numPr>
          <w:ilvl w:val="1"/>
          <w:numId w:val="1"/>
        </w:numPr>
        <w:rPr>
          <w:rFonts w:ascii="Arial" w:hAnsi="Arial" w:cs="Arial"/>
          <w:szCs w:val="22"/>
        </w:rPr>
      </w:pPr>
      <w:r>
        <w:rPr>
          <w:rFonts w:ascii="Arial" w:hAnsi="Arial" w:cs="Arial"/>
          <w:szCs w:val="22"/>
        </w:rPr>
        <w:t>U</w:t>
      </w:r>
      <w:r w:rsidR="00D11070">
        <w:rPr>
          <w:rFonts w:ascii="Arial" w:hAnsi="Arial" w:cs="Arial"/>
          <w:szCs w:val="22"/>
        </w:rPr>
        <w:t>sing a review of the regulations (as and when this happens) to introduce the use of fixed penalty notices as a default across all areas.</w:t>
      </w:r>
    </w:p>
    <w:p w14:paraId="53267BF3" w14:textId="77777777" w:rsidR="00E378A8" w:rsidRDefault="00E378A8" w:rsidP="00E378A8">
      <w:pPr>
        <w:pStyle w:val="ListParagraph"/>
        <w:ind w:left="792"/>
        <w:rPr>
          <w:rFonts w:ascii="Arial" w:hAnsi="Arial" w:cs="Arial"/>
          <w:szCs w:val="22"/>
        </w:rPr>
      </w:pPr>
    </w:p>
    <w:p w14:paraId="4675AFE9" w14:textId="4D30DA5A" w:rsidR="00E378A8" w:rsidRDefault="00E378A8" w:rsidP="00E378A8">
      <w:pPr>
        <w:pStyle w:val="ListParagraph"/>
        <w:numPr>
          <w:ilvl w:val="0"/>
          <w:numId w:val="1"/>
        </w:numPr>
        <w:rPr>
          <w:rFonts w:ascii="Arial" w:hAnsi="Arial" w:cs="Arial"/>
          <w:szCs w:val="22"/>
        </w:rPr>
      </w:pPr>
      <w:r>
        <w:rPr>
          <w:rFonts w:ascii="Arial" w:hAnsi="Arial" w:cs="Arial"/>
          <w:szCs w:val="22"/>
        </w:rPr>
        <w:t>Key risks highlighted in the report include: the potential loss of useful regulations (for example around protected food names) and loss of regulatory knowledge of the single market if the UK’s regulatory framework diverges over time, making it harder for UK officers to provide accurate advice to businesses looking to export.</w:t>
      </w:r>
    </w:p>
    <w:p w14:paraId="1381A66F" w14:textId="77777777" w:rsidR="00E378A8" w:rsidRDefault="00E378A8" w:rsidP="00E378A8">
      <w:pPr>
        <w:pStyle w:val="ListParagraph"/>
        <w:ind w:left="360"/>
        <w:rPr>
          <w:rFonts w:ascii="Arial" w:hAnsi="Arial" w:cs="Arial"/>
          <w:szCs w:val="22"/>
        </w:rPr>
      </w:pPr>
    </w:p>
    <w:p w14:paraId="339C6F0C" w14:textId="0F39FD72" w:rsidR="00E378A8" w:rsidRDefault="00E378A8" w:rsidP="00E378A8">
      <w:pPr>
        <w:pStyle w:val="ListParagraph"/>
        <w:numPr>
          <w:ilvl w:val="0"/>
          <w:numId w:val="1"/>
        </w:numPr>
        <w:rPr>
          <w:rFonts w:ascii="Arial" w:hAnsi="Arial" w:cs="Arial"/>
          <w:szCs w:val="22"/>
        </w:rPr>
      </w:pPr>
      <w:r>
        <w:rPr>
          <w:rFonts w:ascii="Arial" w:hAnsi="Arial" w:cs="Arial"/>
          <w:szCs w:val="22"/>
        </w:rPr>
        <w:t>The general conclusions in the Cornwall report are in line with</w:t>
      </w:r>
      <w:r w:rsidRPr="004A6607">
        <w:rPr>
          <w:rFonts w:ascii="Arial" w:hAnsi="Arial" w:cs="Arial"/>
          <w:szCs w:val="22"/>
        </w:rPr>
        <w:t xml:space="preserve"> the initial conclusions </w:t>
      </w:r>
      <w:r w:rsidR="001B1BED">
        <w:rPr>
          <w:rFonts w:ascii="Arial" w:hAnsi="Arial" w:cs="Arial"/>
          <w:szCs w:val="22"/>
        </w:rPr>
        <w:t xml:space="preserve">and specific policy asks </w:t>
      </w:r>
      <w:r w:rsidRPr="004A6607">
        <w:rPr>
          <w:rFonts w:ascii="Arial" w:hAnsi="Arial" w:cs="Arial"/>
          <w:szCs w:val="22"/>
        </w:rPr>
        <w:t>set out in earlier papers to the Board</w:t>
      </w:r>
      <w:r>
        <w:rPr>
          <w:rFonts w:ascii="Arial" w:hAnsi="Arial" w:cs="Arial"/>
          <w:szCs w:val="22"/>
        </w:rPr>
        <w:t>, which is encouraging</w:t>
      </w:r>
      <w:r w:rsidR="00630474">
        <w:rPr>
          <w:rFonts w:ascii="Arial" w:hAnsi="Arial" w:cs="Arial"/>
          <w:szCs w:val="22"/>
        </w:rPr>
        <w:t xml:space="preserve"> and helps us to firm up the narrative outlined in the paper considered by the Board in March</w:t>
      </w:r>
      <w:r>
        <w:rPr>
          <w:rFonts w:ascii="Arial" w:hAnsi="Arial" w:cs="Arial"/>
          <w:szCs w:val="22"/>
        </w:rPr>
        <w:t xml:space="preserve">. However, we are conscious that it provides a professional view of the regulations and have therefore asked Cornwall to undertake some stakeholder engagement work </w:t>
      </w:r>
      <w:r w:rsidR="001B1BED">
        <w:rPr>
          <w:rFonts w:ascii="Arial" w:hAnsi="Arial" w:cs="Arial"/>
          <w:szCs w:val="22"/>
        </w:rPr>
        <w:t>in order to provide a view from local businesses and councillors. This further information is likely to be received next month.</w:t>
      </w:r>
    </w:p>
    <w:p w14:paraId="2E3454DD" w14:textId="77777777" w:rsidR="001B1BED" w:rsidRPr="001B1BED" w:rsidRDefault="001B1BED" w:rsidP="001B1BED">
      <w:pPr>
        <w:pStyle w:val="ListParagraph"/>
        <w:rPr>
          <w:rFonts w:ascii="Arial" w:hAnsi="Arial" w:cs="Arial"/>
          <w:szCs w:val="22"/>
        </w:rPr>
      </w:pPr>
    </w:p>
    <w:p w14:paraId="19BACC17" w14:textId="204DCD1E" w:rsidR="001B1BED" w:rsidRPr="001B1BED" w:rsidRDefault="001B1BED" w:rsidP="001B1BED">
      <w:pPr>
        <w:rPr>
          <w:rFonts w:ascii="Arial" w:hAnsi="Arial" w:cs="Arial"/>
          <w:b/>
          <w:szCs w:val="22"/>
        </w:rPr>
      </w:pPr>
      <w:r>
        <w:rPr>
          <w:rFonts w:ascii="Arial" w:hAnsi="Arial" w:cs="Arial"/>
          <w:b/>
          <w:szCs w:val="22"/>
        </w:rPr>
        <w:t>Further work on Brexit issues</w:t>
      </w:r>
    </w:p>
    <w:p w14:paraId="3D0767A0" w14:textId="77777777" w:rsidR="001B1BED" w:rsidRPr="001B1BED" w:rsidRDefault="001B1BED" w:rsidP="001B1BED">
      <w:pPr>
        <w:pStyle w:val="ListParagraph"/>
        <w:rPr>
          <w:rFonts w:ascii="Arial" w:hAnsi="Arial" w:cs="Arial"/>
          <w:szCs w:val="22"/>
        </w:rPr>
      </w:pPr>
    </w:p>
    <w:p w14:paraId="71606AFC" w14:textId="3FEA3FE4" w:rsidR="001B1BED" w:rsidRDefault="001B1BED" w:rsidP="00E378A8">
      <w:pPr>
        <w:pStyle w:val="ListParagraph"/>
        <w:numPr>
          <w:ilvl w:val="0"/>
          <w:numId w:val="1"/>
        </w:numPr>
        <w:rPr>
          <w:rFonts w:ascii="Arial" w:hAnsi="Arial" w:cs="Arial"/>
          <w:szCs w:val="22"/>
        </w:rPr>
      </w:pPr>
      <w:r>
        <w:rPr>
          <w:rFonts w:ascii="Arial" w:hAnsi="Arial" w:cs="Arial"/>
          <w:szCs w:val="22"/>
        </w:rPr>
        <w:t>As well as working with Cornwall, officers have been engaging with other organisations looking at the impact of Brexit on their work or wider sector.</w:t>
      </w:r>
    </w:p>
    <w:p w14:paraId="0BFEEFBF" w14:textId="77777777" w:rsidR="001B1BED" w:rsidRDefault="001B1BED" w:rsidP="001B1BED">
      <w:pPr>
        <w:pStyle w:val="ListParagraph"/>
        <w:ind w:left="360"/>
        <w:rPr>
          <w:rFonts w:ascii="Arial" w:hAnsi="Arial" w:cs="Arial"/>
          <w:szCs w:val="22"/>
        </w:rPr>
      </w:pPr>
    </w:p>
    <w:p w14:paraId="63C2B6C3" w14:textId="55C63F0B" w:rsidR="001B1BED" w:rsidRDefault="001B1BED" w:rsidP="00E378A8">
      <w:pPr>
        <w:pStyle w:val="ListParagraph"/>
        <w:numPr>
          <w:ilvl w:val="0"/>
          <w:numId w:val="1"/>
        </w:numPr>
        <w:rPr>
          <w:rFonts w:ascii="Arial" w:hAnsi="Arial" w:cs="Arial"/>
          <w:szCs w:val="22"/>
        </w:rPr>
      </w:pPr>
      <w:r>
        <w:rPr>
          <w:rFonts w:ascii="Arial" w:hAnsi="Arial" w:cs="Arial"/>
          <w:szCs w:val="22"/>
        </w:rPr>
        <w:t>The City of London has commissioned research on the impact of Brexit on its port health responsibilities; in contrast to a review of the regulations, this is a more operationally focused piece of work that seeks to identify the challenges that will need to be managed at the point at which the UK leaves the EU, specifically around ports of entry and imports / exports</w:t>
      </w:r>
      <w:r w:rsidR="00743B93">
        <w:rPr>
          <w:rFonts w:ascii="Arial" w:hAnsi="Arial" w:cs="Arial"/>
          <w:szCs w:val="22"/>
        </w:rPr>
        <w:t>, even if the regulatory framework remain the same</w:t>
      </w:r>
      <w:r>
        <w:rPr>
          <w:rFonts w:ascii="Arial" w:hAnsi="Arial" w:cs="Arial"/>
          <w:szCs w:val="22"/>
        </w:rPr>
        <w:t xml:space="preserve">. In follow up to this discussion, officers are arranging a visit for members of the Brexit task and finish group and SSCB lead members to visit the City’s London Gateway and Tilbury port operations. This will help inform the LGA’s lobbying work around customs, an issue due to be subject to legislation over the course of this Parliament. </w:t>
      </w:r>
    </w:p>
    <w:p w14:paraId="5AB0EDE0" w14:textId="77777777" w:rsidR="001B1BED" w:rsidRPr="001B1BED" w:rsidRDefault="001B1BED" w:rsidP="001B1BED">
      <w:pPr>
        <w:rPr>
          <w:rFonts w:ascii="Arial" w:hAnsi="Arial" w:cs="Arial"/>
          <w:szCs w:val="22"/>
        </w:rPr>
      </w:pPr>
    </w:p>
    <w:p w14:paraId="754FDE39" w14:textId="15129DEA" w:rsidR="001B1BED" w:rsidRPr="004A6607" w:rsidRDefault="001B1BED" w:rsidP="00E378A8">
      <w:pPr>
        <w:pStyle w:val="ListParagraph"/>
        <w:numPr>
          <w:ilvl w:val="0"/>
          <w:numId w:val="1"/>
        </w:numPr>
        <w:rPr>
          <w:rFonts w:ascii="Arial" w:hAnsi="Arial" w:cs="Arial"/>
          <w:szCs w:val="22"/>
        </w:rPr>
      </w:pPr>
      <w:r>
        <w:rPr>
          <w:rFonts w:ascii="Arial" w:hAnsi="Arial" w:cs="Arial"/>
          <w:szCs w:val="22"/>
        </w:rPr>
        <w:t>We are also liaising with professional bodies such as the Chartered Institute of Trading Standards, who are undertaking their own thematic reviews of different areas of EU legislation, to share information about any challenges arising from the adoption of EU laws via the Repeal Bill and longer term opportunities for change.</w:t>
      </w:r>
      <w:r w:rsidR="00743B93">
        <w:rPr>
          <w:rFonts w:ascii="Arial" w:hAnsi="Arial" w:cs="Arial"/>
          <w:szCs w:val="22"/>
        </w:rPr>
        <w:t xml:space="preserve"> Again, this will help to inform any necessary lobbying on this issue.</w:t>
      </w:r>
    </w:p>
    <w:p w14:paraId="53B67B5E" w14:textId="77777777" w:rsidR="00FA475C" w:rsidRDefault="00FA475C" w:rsidP="00FA475C">
      <w:pPr>
        <w:pStyle w:val="ListParagraph"/>
        <w:ind w:left="360"/>
        <w:rPr>
          <w:rFonts w:ascii="Arial" w:hAnsi="Arial" w:cs="Arial"/>
          <w:szCs w:val="22"/>
        </w:rPr>
      </w:pPr>
    </w:p>
    <w:p w14:paraId="3E83229D" w14:textId="39CE1FB9" w:rsidR="00992E96" w:rsidRDefault="00992E96" w:rsidP="00841D53">
      <w:pPr>
        <w:rPr>
          <w:rFonts w:ascii="Arial" w:hAnsi="Arial" w:cs="Arial"/>
          <w:b/>
          <w:szCs w:val="22"/>
        </w:rPr>
      </w:pPr>
      <w:r>
        <w:rPr>
          <w:rFonts w:ascii="Arial" w:hAnsi="Arial" w:cs="Arial"/>
          <w:b/>
          <w:szCs w:val="22"/>
        </w:rPr>
        <w:t xml:space="preserve">Implications for Wales </w:t>
      </w:r>
    </w:p>
    <w:p w14:paraId="7EF334D6" w14:textId="77777777" w:rsidR="00F82574" w:rsidRPr="00F82574" w:rsidRDefault="00F82574" w:rsidP="00841D53">
      <w:pPr>
        <w:rPr>
          <w:rFonts w:ascii="Arial" w:hAnsi="Arial" w:cs="Arial"/>
          <w:i/>
          <w:szCs w:val="22"/>
        </w:rPr>
      </w:pPr>
    </w:p>
    <w:p w14:paraId="3E83229F" w14:textId="1F30B87F" w:rsidR="00992E96" w:rsidRPr="00AC2D50" w:rsidRDefault="00AD138B" w:rsidP="00AD138B">
      <w:pPr>
        <w:pStyle w:val="ListParagraph"/>
        <w:numPr>
          <w:ilvl w:val="0"/>
          <w:numId w:val="1"/>
        </w:numPr>
        <w:rPr>
          <w:rFonts w:ascii="Arial" w:hAnsi="Arial" w:cs="Arial"/>
          <w:szCs w:val="22"/>
        </w:rPr>
      </w:pPr>
      <w:r>
        <w:rPr>
          <w:rFonts w:ascii="Arial" w:hAnsi="Arial" w:cs="Arial"/>
          <w:szCs w:val="22"/>
        </w:rPr>
        <w:t>WLGA have been involved in the discussions between government a</w:t>
      </w:r>
      <w:r w:rsidR="00630474">
        <w:rPr>
          <w:rFonts w:ascii="Arial" w:hAnsi="Arial" w:cs="Arial"/>
          <w:szCs w:val="22"/>
        </w:rPr>
        <w:t>nd the other representative bodies</w:t>
      </w:r>
      <w:r>
        <w:rPr>
          <w:rFonts w:ascii="Arial" w:hAnsi="Arial" w:cs="Arial"/>
          <w:szCs w:val="22"/>
        </w:rPr>
        <w:t xml:space="preserve"> for local government. Officers are liaising with WLGA officials to discuss this work. </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297496D4" w14:textId="04142865" w:rsidR="00D537AC" w:rsidRPr="00B0405C" w:rsidRDefault="00AD138B" w:rsidP="00BB3942">
      <w:pPr>
        <w:pStyle w:val="ListParagraph"/>
        <w:numPr>
          <w:ilvl w:val="0"/>
          <w:numId w:val="1"/>
        </w:numPr>
        <w:rPr>
          <w:rFonts w:ascii="Arial" w:hAnsi="Arial" w:cs="Arial"/>
          <w:szCs w:val="22"/>
        </w:rPr>
      </w:pPr>
      <w:r w:rsidRPr="00B0405C">
        <w:rPr>
          <w:rFonts w:ascii="Arial" w:hAnsi="Arial" w:cs="Arial"/>
          <w:szCs w:val="22"/>
        </w:rPr>
        <w:t>This work is being undertaken within existing resource and commissioning budgets.</w:t>
      </w:r>
      <w:bookmarkStart w:id="3" w:name="_GoBack"/>
      <w:bookmarkEnd w:id="3"/>
    </w:p>
    <w:sectPr w:rsidR="00D537AC" w:rsidRPr="00B040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743B93" w:rsidRDefault="00743B93">
      <w:r>
        <w:separator/>
      </w:r>
    </w:p>
  </w:endnote>
  <w:endnote w:type="continuationSeparator" w:id="0">
    <w:p w14:paraId="3E8322B5" w14:textId="77777777" w:rsidR="00743B93" w:rsidRDefault="0074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743B93" w:rsidRDefault="00743B9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743B93" w:rsidRDefault="00743B93">
      <w:r>
        <w:separator/>
      </w:r>
    </w:p>
  </w:footnote>
  <w:footnote w:type="continuationSeparator" w:id="0">
    <w:p w14:paraId="3E8322B3" w14:textId="77777777" w:rsidR="00743B93" w:rsidRDefault="00743B93">
      <w:r>
        <w:continuationSeparator/>
      </w:r>
    </w:p>
  </w:footnote>
  <w:footnote w:id="1">
    <w:p w14:paraId="10238734" w14:textId="66BBCD0A" w:rsidR="00743B93" w:rsidRDefault="00743B93">
      <w:pPr>
        <w:pStyle w:val="FootnoteText"/>
      </w:pPr>
      <w:r>
        <w:rPr>
          <w:rStyle w:val="FootnoteReference"/>
        </w:rPr>
        <w:footnoteRef/>
      </w:r>
      <w:r>
        <w:t xml:space="preserve"> </w:t>
      </w:r>
      <w:r w:rsidRPr="005C74AC">
        <w:rPr>
          <w:rFonts w:ascii="Arial" w:hAnsi="Arial" w:cs="Arial"/>
        </w:rPr>
        <w:t xml:space="preserve">Broadly, this means including licensing, environmental health and trading standards work as it relates to safer communities, but excluding regulatory work with other objectives, </w:t>
      </w:r>
      <w:proofErr w:type="spellStart"/>
      <w:r w:rsidRPr="005C74AC">
        <w:rPr>
          <w:rFonts w:ascii="Arial" w:hAnsi="Arial" w:cs="Arial"/>
        </w:rPr>
        <w:t>eg</w:t>
      </w:r>
      <w:proofErr w:type="spellEnd"/>
      <w:r w:rsidRPr="005C74AC">
        <w:rPr>
          <w:rFonts w:ascii="Arial" w:hAnsi="Arial" w:cs="Arial"/>
        </w:rPr>
        <w:t xml:space="preserve"> environmental, which are being considered separately by relevant Boards.</w:t>
      </w:r>
    </w:p>
  </w:footnote>
  <w:footnote w:id="2">
    <w:p w14:paraId="1586D049" w14:textId="79567FD8" w:rsidR="00743B93" w:rsidRPr="005C74AC" w:rsidRDefault="00743B93">
      <w:pPr>
        <w:pStyle w:val="FootnoteText"/>
        <w:rPr>
          <w:rFonts w:ascii="Arial" w:hAnsi="Arial" w:cs="Arial"/>
        </w:rPr>
      </w:pPr>
      <w:r w:rsidRPr="005C74AC">
        <w:rPr>
          <w:rStyle w:val="FootnoteReference"/>
          <w:rFonts w:ascii="Arial" w:hAnsi="Arial" w:cs="Arial"/>
        </w:rPr>
        <w:footnoteRef/>
      </w:r>
      <w:r w:rsidRPr="005C74AC">
        <w:rPr>
          <w:rFonts w:ascii="Arial" w:hAnsi="Arial" w:cs="Arial"/>
        </w:rPr>
        <w:t xml:space="preserve"> Including EU directives incorporated into UK law, EU rules and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7161" w14:textId="77777777" w:rsidR="00B0405C" w:rsidRDefault="00B0405C"/>
  <w:tbl>
    <w:tblPr>
      <w:tblW w:w="0" w:type="auto"/>
      <w:tblLook w:val="01E0" w:firstRow="1" w:lastRow="1" w:firstColumn="1" w:lastColumn="1" w:noHBand="0" w:noVBand="0"/>
    </w:tblPr>
    <w:tblGrid>
      <w:gridCol w:w="5846"/>
      <w:gridCol w:w="3225"/>
    </w:tblGrid>
    <w:tr w:rsidR="00743B93" w:rsidRPr="004F266E" w14:paraId="3E8322B8" w14:textId="77777777" w:rsidTr="00EA2B57">
      <w:tc>
        <w:tcPr>
          <w:tcW w:w="5846" w:type="dxa"/>
          <w:vMerge w:val="restart"/>
          <w:shd w:val="clear" w:color="auto" w:fill="auto"/>
        </w:tcPr>
        <w:p w14:paraId="7D3B3734" w14:textId="77777777" w:rsidR="00B0405C" w:rsidRDefault="00B0405C" w:rsidP="008F72ED">
          <w:pPr>
            <w:pStyle w:val="Header"/>
            <w:tabs>
              <w:tab w:val="clear" w:pos="4153"/>
              <w:tab w:val="clear" w:pos="8306"/>
              <w:tab w:val="center" w:pos="2923"/>
            </w:tabs>
          </w:pPr>
        </w:p>
        <w:p w14:paraId="3E8322B6" w14:textId="77777777" w:rsidR="00743B93" w:rsidRPr="00374227" w:rsidRDefault="00743B93" w:rsidP="008F72ED">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5" w:type="dxa"/>
          <w:shd w:val="clear" w:color="auto" w:fill="auto"/>
          <w:vAlign w:val="center"/>
        </w:tcPr>
        <w:p w14:paraId="63C1C318" w14:textId="77777777" w:rsidR="00B0405C" w:rsidRDefault="00B0405C" w:rsidP="008F72ED">
          <w:pPr>
            <w:pStyle w:val="Header"/>
            <w:rPr>
              <w:rFonts w:ascii="Arial" w:hAnsi="Arial" w:cs="Arial"/>
              <w:b/>
              <w:szCs w:val="22"/>
            </w:rPr>
          </w:pPr>
        </w:p>
        <w:p w14:paraId="3E8322B7" w14:textId="7FF1E2FF" w:rsidR="00743B93" w:rsidRPr="00E7702B" w:rsidRDefault="00743B93" w:rsidP="008F72ED">
          <w:pPr>
            <w:pStyle w:val="Header"/>
            <w:rPr>
              <w:rFonts w:ascii="Arial" w:hAnsi="Arial" w:cs="Arial"/>
              <w:b/>
              <w:i/>
              <w:szCs w:val="22"/>
            </w:rPr>
          </w:pPr>
          <w:r>
            <w:rPr>
              <w:rFonts w:ascii="Arial" w:hAnsi="Arial" w:cs="Arial"/>
              <w:b/>
              <w:szCs w:val="22"/>
            </w:rPr>
            <w:t>Safer and Stronger Communities</w:t>
          </w:r>
          <w:r w:rsidRPr="00E7702B">
            <w:rPr>
              <w:rFonts w:ascii="Arial" w:hAnsi="Arial" w:cs="Arial"/>
              <w:i/>
            </w:rPr>
            <w:t xml:space="preserve"> </w:t>
          </w:r>
        </w:p>
      </w:tc>
    </w:tr>
    <w:tr w:rsidR="00743B93" w14:paraId="3E8322BB" w14:textId="77777777" w:rsidTr="00EA2B57">
      <w:trPr>
        <w:trHeight w:val="450"/>
      </w:trPr>
      <w:tc>
        <w:tcPr>
          <w:tcW w:w="5846" w:type="dxa"/>
          <w:vMerge/>
          <w:shd w:val="clear" w:color="auto" w:fill="auto"/>
        </w:tcPr>
        <w:p w14:paraId="3E8322B9" w14:textId="77777777" w:rsidR="00743B93" w:rsidRPr="00374227" w:rsidRDefault="00743B93" w:rsidP="008F72ED">
          <w:pPr>
            <w:pStyle w:val="Header"/>
          </w:pPr>
        </w:p>
      </w:tc>
      <w:tc>
        <w:tcPr>
          <w:tcW w:w="3225" w:type="dxa"/>
          <w:shd w:val="clear" w:color="auto" w:fill="auto"/>
          <w:vAlign w:val="center"/>
        </w:tcPr>
        <w:p w14:paraId="3E8322BA" w14:textId="6457AE21" w:rsidR="00743B93" w:rsidRPr="00374227" w:rsidRDefault="00743B93" w:rsidP="008F72ED">
          <w:pPr>
            <w:pStyle w:val="Header"/>
            <w:spacing w:before="60"/>
            <w:rPr>
              <w:rFonts w:ascii="Arial" w:hAnsi="Arial" w:cs="Arial"/>
              <w:szCs w:val="22"/>
            </w:rPr>
          </w:pPr>
          <w:r>
            <w:rPr>
              <w:rFonts w:ascii="Arial" w:hAnsi="Arial" w:cs="Arial"/>
              <w:szCs w:val="22"/>
            </w:rPr>
            <w:t xml:space="preserve">11 September 2017 </w:t>
          </w:r>
        </w:p>
      </w:tc>
    </w:tr>
  </w:tbl>
  <w:p w14:paraId="3E8322BF" w14:textId="77777777" w:rsidR="00743B93" w:rsidRPr="0021114E" w:rsidRDefault="00743B9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743B93" w:rsidRDefault="00743B93" w:rsidP="008F72ED">
    <w:pPr>
      <w:pStyle w:val="Header"/>
      <w:rPr>
        <w:sz w:val="2"/>
      </w:rPr>
    </w:pPr>
  </w:p>
  <w:p w14:paraId="3E8322C2" w14:textId="77777777" w:rsidR="00743B93" w:rsidRDefault="00743B93" w:rsidP="008F72ED">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743B93" w:rsidRPr="001D2C76" w14:paraId="3E8322C5" w14:textId="77777777" w:rsidTr="008F72ED">
      <w:tc>
        <w:tcPr>
          <w:tcW w:w="6062" w:type="dxa"/>
          <w:vMerge w:val="restart"/>
        </w:tcPr>
        <w:p w14:paraId="3E8322C3" w14:textId="77777777" w:rsidR="00743B93" w:rsidRDefault="00743B93" w:rsidP="008F72ED">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743B93" w:rsidRPr="001D2C76" w:rsidRDefault="00743B93" w:rsidP="008F72ED">
          <w:pPr>
            <w:pStyle w:val="Header"/>
            <w:rPr>
              <w:b/>
            </w:rPr>
          </w:pPr>
          <w:r>
            <w:rPr>
              <w:rFonts w:ascii="Arial" w:hAnsi="Arial" w:cs="Arial"/>
              <w:b/>
              <w:sz w:val="24"/>
              <w:szCs w:val="24"/>
            </w:rPr>
            <w:t>Meeting title</w:t>
          </w:r>
        </w:p>
      </w:tc>
    </w:tr>
    <w:tr w:rsidR="00743B93" w14:paraId="3E8322C8" w14:textId="77777777" w:rsidTr="008F72ED">
      <w:trPr>
        <w:trHeight w:val="450"/>
      </w:trPr>
      <w:tc>
        <w:tcPr>
          <w:tcW w:w="6062" w:type="dxa"/>
          <w:vMerge/>
        </w:tcPr>
        <w:p w14:paraId="3E8322C6" w14:textId="77777777" w:rsidR="00743B93" w:rsidRDefault="00743B93" w:rsidP="008F72ED">
          <w:pPr>
            <w:pStyle w:val="Header"/>
          </w:pPr>
        </w:p>
      </w:tc>
      <w:tc>
        <w:tcPr>
          <w:tcW w:w="3225" w:type="dxa"/>
        </w:tcPr>
        <w:p w14:paraId="3E8322C7" w14:textId="77777777" w:rsidR="00743B93" w:rsidRDefault="00743B93" w:rsidP="008F72ED">
          <w:pPr>
            <w:pStyle w:val="Header"/>
            <w:spacing w:before="60"/>
          </w:pPr>
          <w:r>
            <w:rPr>
              <w:rFonts w:ascii="Arial" w:hAnsi="Arial" w:cs="Arial"/>
              <w:sz w:val="24"/>
              <w:szCs w:val="24"/>
            </w:rPr>
            <w:t xml:space="preserve">Meeting date </w:t>
          </w:r>
        </w:p>
      </w:tc>
    </w:tr>
    <w:tr w:rsidR="00743B93" w14:paraId="3E8322CC" w14:textId="77777777" w:rsidTr="008F72ED">
      <w:trPr>
        <w:trHeight w:val="450"/>
      </w:trPr>
      <w:tc>
        <w:tcPr>
          <w:tcW w:w="6062" w:type="dxa"/>
          <w:vMerge/>
        </w:tcPr>
        <w:p w14:paraId="3E8322C9" w14:textId="77777777" w:rsidR="00743B93" w:rsidRDefault="00743B93" w:rsidP="008F72ED">
          <w:pPr>
            <w:pStyle w:val="Header"/>
          </w:pPr>
        </w:p>
      </w:tc>
      <w:tc>
        <w:tcPr>
          <w:tcW w:w="3225" w:type="dxa"/>
        </w:tcPr>
        <w:p w14:paraId="3E8322CA" w14:textId="77777777" w:rsidR="00743B93" w:rsidRDefault="00743B93" w:rsidP="008F72ED">
          <w:pPr>
            <w:pStyle w:val="Header"/>
            <w:spacing w:before="60"/>
            <w:rPr>
              <w:rFonts w:ascii="Arial" w:hAnsi="Arial" w:cs="Arial"/>
              <w:b/>
              <w:sz w:val="24"/>
              <w:szCs w:val="24"/>
            </w:rPr>
          </w:pPr>
        </w:p>
        <w:p w14:paraId="3E8322CB" w14:textId="77777777" w:rsidR="00743B93" w:rsidRPr="00546D0D" w:rsidRDefault="00743B93" w:rsidP="008F72ED">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743B93" w:rsidRDefault="00743B93" w:rsidP="008F72E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806"/>
    <w:multiLevelType w:val="hybridMultilevel"/>
    <w:tmpl w:val="68E0CC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B371803"/>
    <w:multiLevelType w:val="hybridMultilevel"/>
    <w:tmpl w:val="BD38A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4B4684"/>
    <w:multiLevelType w:val="multilevel"/>
    <w:tmpl w:val="F4BC6C9C"/>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9416E4"/>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9D03AA"/>
    <w:multiLevelType w:val="hybridMultilevel"/>
    <w:tmpl w:val="3EA0E41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6376BD"/>
    <w:multiLevelType w:val="hybridMultilevel"/>
    <w:tmpl w:val="0DAE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A7723E"/>
    <w:multiLevelType w:val="multilevel"/>
    <w:tmpl w:val="1B40BA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 w:numId="7">
    <w:abstractNumId w:val="6"/>
  </w:num>
  <w:num w:numId="8">
    <w:abstractNumId w:val="2"/>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551A7"/>
    <w:rsid w:val="000D3672"/>
    <w:rsid w:val="00105469"/>
    <w:rsid w:val="00122698"/>
    <w:rsid w:val="001B1BED"/>
    <w:rsid w:val="001B36CE"/>
    <w:rsid w:val="00243DF2"/>
    <w:rsid w:val="002634A5"/>
    <w:rsid w:val="00326607"/>
    <w:rsid w:val="00365D53"/>
    <w:rsid w:val="00375B0D"/>
    <w:rsid w:val="004A0786"/>
    <w:rsid w:val="004A6607"/>
    <w:rsid w:val="00511648"/>
    <w:rsid w:val="00564D58"/>
    <w:rsid w:val="005C74AC"/>
    <w:rsid w:val="00612E8B"/>
    <w:rsid w:val="00630474"/>
    <w:rsid w:val="00635282"/>
    <w:rsid w:val="00690186"/>
    <w:rsid w:val="00701F2D"/>
    <w:rsid w:val="00743B93"/>
    <w:rsid w:val="007524BE"/>
    <w:rsid w:val="00820FF5"/>
    <w:rsid w:val="00841D53"/>
    <w:rsid w:val="00891AE9"/>
    <w:rsid w:val="008F72ED"/>
    <w:rsid w:val="009266F7"/>
    <w:rsid w:val="00992E96"/>
    <w:rsid w:val="00A055A8"/>
    <w:rsid w:val="00AD138B"/>
    <w:rsid w:val="00B0405C"/>
    <w:rsid w:val="00B14E17"/>
    <w:rsid w:val="00B23DA6"/>
    <w:rsid w:val="00B27F61"/>
    <w:rsid w:val="00B6581A"/>
    <w:rsid w:val="00B7644E"/>
    <w:rsid w:val="00BE46C1"/>
    <w:rsid w:val="00C03562"/>
    <w:rsid w:val="00D11070"/>
    <w:rsid w:val="00D45B4D"/>
    <w:rsid w:val="00D537AC"/>
    <w:rsid w:val="00DF09AF"/>
    <w:rsid w:val="00E1448D"/>
    <w:rsid w:val="00E378A8"/>
    <w:rsid w:val="00EA2B57"/>
    <w:rsid w:val="00ED60BA"/>
    <w:rsid w:val="00F44365"/>
    <w:rsid w:val="00F82574"/>
    <w:rsid w:val="00FA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61A97A70-5CF9-470F-8908-540A6FA9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B6581A"/>
    <w:rPr>
      <w:rFonts w:ascii="Frutiger 45 Light" w:eastAsia="Times New Roman" w:hAnsi="Frutiger 45 Light" w:cs="Times New Roman"/>
      <w:szCs w:val="20"/>
      <w:lang w:eastAsia="en-GB"/>
    </w:rPr>
  </w:style>
  <w:style w:type="paragraph" w:styleId="PlainText">
    <w:name w:val="Plain Text"/>
    <w:basedOn w:val="Normal"/>
    <w:link w:val="PlainTextChar"/>
    <w:uiPriority w:val="99"/>
    <w:unhideWhenUsed/>
    <w:rsid w:val="00B6581A"/>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B6581A"/>
    <w:rPr>
      <w:rFonts w:ascii="Arial" w:hAnsi="Arial" w:cs="Consolas"/>
      <w:szCs w:val="21"/>
    </w:rPr>
  </w:style>
  <w:style w:type="character" w:styleId="CommentReference">
    <w:name w:val="annotation reference"/>
    <w:basedOn w:val="DefaultParagraphFont"/>
    <w:uiPriority w:val="99"/>
    <w:semiHidden/>
    <w:unhideWhenUsed/>
    <w:rsid w:val="00D537AC"/>
    <w:rPr>
      <w:sz w:val="16"/>
      <w:szCs w:val="16"/>
    </w:rPr>
  </w:style>
  <w:style w:type="paragraph" w:styleId="CommentText">
    <w:name w:val="annotation text"/>
    <w:basedOn w:val="Normal"/>
    <w:link w:val="CommentTextChar"/>
    <w:uiPriority w:val="99"/>
    <w:semiHidden/>
    <w:unhideWhenUsed/>
    <w:rsid w:val="00D537AC"/>
    <w:rPr>
      <w:sz w:val="20"/>
    </w:rPr>
  </w:style>
  <w:style w:type="character" w:customStyle="1" w:styleId="CommentTextChar">
    <w:name w:val="Comment Text Char"/>
    <w:basedOn w:val="DefaultParagraphFont"/>
    <w:link w:val="CommentText"/>
    <w:uiPriority w:val="99"/>
    <w:semiHidden/>
    <w:rsid w:val="00D537AC"/>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37AC"/>
    <w:rPr>
      <w:b/>
      <w:bCs/>
    </w:rPr>
  </w:style>
  <w:style w:type="character" w:customStyle="1" w:styleId="CommentSubjectChar">
    <w:name w:val="Comment Subject Char"/>
    <w:basedOn w:val="CommentTextChar"/>
    <w:link w:val="CommentSubject"/>
    <w:uiPriority w:val="99"/>
    <w:semiHidden/>
    <w:rsid w:val="00D537AC"/>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D53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A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393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greenwood@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84A93-EF82-45B3-A2C2-0ABCD6D26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www.w3.org/XML/1998/namespace"/>
    <ds:schemaRef ds:uri="http://purl.org/dc/terms/"/>
    <ds:schemaRef ds:uri="http://schemas.microsoft.com/office/infopath/2007/PartnerControls"/>
    <ds:schemaRef ds:uri="c8febe6a-14d9-43ab-83c3-c48f478fa47c"/>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1c8a0e75-f4bc-4eb4-8ed0-578eaea9e1ca"/>
    <ds:schemaRef ds:uri="http://purl.org/dc/dcmitype/"/>
  </ds:schemaRefs>
</ds:datastoreItem>
</file>

<file path=customXml/itemProps4.xml><?xml version="1.0" encoding="utf-8"?>
<ds:datastoreItem xmlns:ds="http://schemas.openxmlformats.org/officeDocument/2006/customXml" ds:itemID="{E324049C-0DF5-4B66-BC44-1D760DC9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36A94E15</Template>
  <TotalTime>7</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4</cp:revision>
  <dcterms:created xsi:type="dcterms:W3CDTF">2017-09-04T08:14:00Z</dcterms:created>
  <dcterms:modified xsi:type="dcterms:W3CDTF">2017-09-04T13:57:00Z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0b6503a9-28cf-4649-bf13-cf07c85905e0,4;0b6503a9-28cf-4649-bf13-cf07c85905e0,4;0b6503a9-28cf-4649-bf13-cf07c85905e0,4;</vt:lpwstr>
  </property>
</Properties>
</file>